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B2" w:rsidRPr="002B1406" w:rsidRDefault="002D41B2" w:rsidP="00804779">
      <w:pPr>
        <w:bidi/>
        <w:spacing w:after="0" w:line="240" w:lineRule="auto"/>
        <w:ind w:right="-288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تقديم 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خدمات 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الا</w:t>
      </w:r>
      <w:r w:rsidR="00487F86"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ستشارية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قانونية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ادارية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قضائية </w:t>
      </w:r>
      <w:r w:rsidR="00503DF7"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لمستشفى الملك المؤسس عبدالله الجامعي</w:t>
      </w:r>
    </w:p>
    <w:p w:rsidR="00AE6B4D" w:rsidRDefault="002D41B2" w:rsidP="00804779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 الشروط الوا</w:t>
      </w:r>
      <w:r w:rsidR="005B4570"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ج</w:t>
      </w:r>
      <w:r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ب توافرها في المناقص </w:t>
      </w:r>
    </w:p>
    <w:p w:rsidR="00503DF7" w:rsidRPr="00AE6B4D" w:rsidRDefault="00AE6B4D" w:rsidP="00AE6B4D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أولاً: </w:t>
      </w:r>
      <w:r w:rsidR="002D41B2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شروط التأهيل المسبق</w:t>
      </w:r>
    </w:p>
    <w:p w:rsidR="002D41B2" w:rsidRPr="001A4464" w:rsidRDefault="002D41B2" w:rsidP="002A7EA9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يجب ان يكون المناقص الم</w:t>
      </w:r>
      <w:r w:rsidR="005E5247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</w:t>
      </w: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قد</w:t>
      </w:r>
      <w:r w:rsidR="005E5247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للمناقصة حاصلا على اجازة مزاولة مهنة</w:t>
      </w: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المحاماة سارية المفعول وان يكون قد </w:t>
      </w:r>
      <w:r w:rsidR="00AE6B4D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أمضي</w:t>
      </w: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خدمة فعلية في ممارسة المهنة</w:t>
      </w:r>
      <w:r w:rsidR="007C10CA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مدة</w:t>
      </w: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لا تقل </w:t>
      </w:r>
      <w:r w:rsidRP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عن</w:t>
      </w:r>
      <w:r w:rsidR="00C76414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210559" w:rsidRPr="00C76414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عشر</w:t>
      </w:r>
      <w:r w:rsidR="00C76414" w:rsidRPr="00C76414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C76414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سنوات</w:t>
      </w:r>
      <w:r w:rsidR="00A54B4B" w:rsidRPr="00A75799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  <w:lang w:bidi="ar-JO"/>
        </w:rPr>
        <w:t xml:space="preserve"> </w:t>
      </w:r>
      <w:r w:rsidR="00BE1522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ولهذه الغاية يجب على المناقص ان يرفق 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بعرضه صور</w:t>
      </w:r>
      <w:r w:rsidR="00596169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 </w:t>
      </w:r>
      <w:r w:rsidR="007C10CA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اجازة </w:t>
      </w:r>
      <w:r w:rsidR="005E5247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مزاولة مهنة المحاماة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ومشروحات من نقابة المحامين تثبت </w:t>
      </w:r>
      <w:r w:rsidR="00C767AB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مدة 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مزاولته </w:t>
      </w:r>
      <w:r w:rsidR="00AE6B4D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للمهنة وكما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يطلب من الشركات تقديم شهادة تسجيل شركة حديثة صادرة من وزارة الصناعة والتجارة</w:t>
      </w:r>
      <w:r w:rsidR="00C767AB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7F5E01" w:rsidRDefault="007F5E01" w:rsidP="001A4464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يجب على المناقص ان 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يقدم العرض باسمه </w:t>
      </w:r>
      <w:r w:rsidR="005316B7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كان </w:t>
      </w:r>
      <w:r w:rsidR="00487F86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مكتب</w:t>
      </w:r>
      <w:r w:rsidR="00AC588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D7FE1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محاماه</w:t>
      </w:r>
      <w:r w:rsidR="005316B7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,او باسم الشركة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ان ك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ان ما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ك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ها او احد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شركاء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فيها ولن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تقبل العروض 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التي تقدم بالشراكة او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الشراكة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الباطن.</w:t>
      </w:r>
    </w:p>
    <w:p w:rsidR="005B4570" w:rsidRDefault="00176D3A" w:rsidP="00487C2F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يجب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ان يكون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المناقص وكيلا لمؤسسات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طبية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ان يكون لديه خبر</w:t>
      </w:r>
      <w:r w:rsidR="0059616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لمدة </w:t>
      </w:r>
      <w:r w:rsidR="00487C2F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ثلاث</w:t>
      </w:r>
      <w:r w:rsidR="005B4570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سنوات</w:t>
      </w:r>
      <w:r w:rsidR="00C76414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مجال المحاكم 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الإدارية و</w:t>
      </w:r>
      <w:r w:rsidR="00732419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على </w:t>
      </w:r>
      <w:r w:rsidR="00732419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المناقص</w:t>
      </w:r>
      <w:r w:rsidR="00AC588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732419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تقديم</w:t>
      </w:r>
      <w:r w:rsidR="00732419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رسائل توصية (حال وجودها) من الجهات التي قام سابقا بخدمتها 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بحيث يكون عنوان مقدم التوصية واضحاً</w:t>
      </w:r>
      <w:r w:rsidR="00732419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B4570" w:rsidRDefault="005B4570" w:rsidP="00594CE4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يكون لدى المناقص كادر (اداري وقانوني) يتناسب وحجم </w:t>
      </w:r>
      <w:r w:rsidR="001440BB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اعمال</w:t>
      </w:r>
      <w:r w:rsidR="00AC588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503DF7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مستشفى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وحجم الاعمال التي سيت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احالتها بموجب المناقصة,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ويقدم لهذه 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الغاية كشفا بكادره الا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داري والقانوني وشهاداتهم العلمية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وخبراتهم ع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لى ان يعزز ذلك بالوثائق الضرورية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(نسخة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 شهاداتهم وخبراتهم العملية)</w:t>
      </w:r>
      <w:r w:rsidR="00D7278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، </w:t>
      </w:r>
      <w:r w:rsidR="00D72783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وأن لا يقل عدد افراد المكتب عن (</w:t>
      </w:r>
      <w:r w:rsidR="00176D3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</w:t>
      </w:r>
      <w:r w:rsidR="00D72783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) محامين مزاولين </w:t>
      </w:r>
      <w:r w:rsidR="00594CE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احدهما لا تقل خبرته عن عامين.</w:t>
      </w:r>
    </w:p>
    <w:p w:rsidR="00503DF7" w:rsidRDefault="00AE6B4D" w:rsidP="00AC588F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المناقص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تقديم كشف </w:t>
      </w:r>
      <w:r w:rsidR="00487C2F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بالخدمات الاستشارية والقانونية والادارية والقضائية</w:t>
      </w:r>
      <w:r w:rsidR="00092CD5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التي قام بتنفيذها </w:t>
      </w:r>
      <w:r w:rsidR="00487C2F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وتمثيلها </w:t>
      </w:r>
      <w:r w:rsidR="00092CD5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خلال </w:t>
      </w:r>
      <w:r w:rsidR="00AC588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الثلاث سنوات الاخيرة</w:t>
      </w:r>
      <w:r w:rsidR="00210559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487C2F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مع بيان نوع القضية والحكم بها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, 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ويحق للمستشفى طلب المعززات </w:t>
      </w:r>
      <w:r w:rsidR="00D83B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اللازمة 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بذلك في أي وقت يراه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مناسباً.</w:t>
      </w:r>
    </w:p>
    <w:p w:rsidR="00092CD5" w:rsidRPr="00AE6B4D" w:rsidRDefault="00AE6B4D" w:rsidP="00AE6B4D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ثانياً:</w:t>
      </w:r>
      <w:r w:rsidR="00092CD5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 وصف </w:t>
      </w:r>
      <w:r w:rsidR="00631EF4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ل</w:t>
      </w:r>
      <w:r w:rsidR="00092CD5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لخدمات المطلوب</w:t>
      </w:r>
      <w:r w:rsidR="00631EF4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ة</w:t>
      </w:r>
      <w:r w:rsidR="00AC588F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 </w:t>
      </w:r>
      <w:r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وانواعها.</w:t>
      </w:r>
    </w:p>
    <w:p w:rsidR="008254AE" w:rsidRDefault="008254AE" w:rsidP="00804779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جميع الخدمات القانونية اللازمة من كافة الجوانب الادارية والقانونية والقضائية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والاستشارية </w:t>
      </w: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مختلف انواعها باحدى اللغتين العربية او الانجليزية وذلك حسب طلب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</w:t>
      </w:r>
      <w:r w:rsidR="00E978D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ستشفى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 والت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 منها على سبيل المثال لا الحصر:-</w:t>
      </w:r>
    </w:p>
    <w:p w:rsidR="00FD0606" w:rsidRDefault="008254AE" w:rsidP="00AE6B4D">
      <w:pPr>
        <w:pStyle w:val="ListParagraph"/>
        <w:numPr>
          <w:ilvl w:val="0"/>
          <w:numId w:val="11"/>
        </w:numPr>
        <w:bidi/>
        <w:spacing w:after="0" w:line="360" w:lineRule="auto"/>
        <w:ind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الاستشارات القانونية في الموضوعات التي يحيلها له 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مدير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عام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او من ينوب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عنه.</w:t>
      </w:r>
    </w:p>
    <w:p w:rsidR="008254AE" w:rsidRDefault="008254AE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>مراجعة الت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شريعات والمعايير التي ي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عدها 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وحسب تكليف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FD0606" w:rsidRDefault="00FD0606" w:rsidP="00AE6B4D">
      <w:pPr>
        <w:pStyle w:val="ListParagraph"/>
        <w:numPr>
          <w:ilvl w:val="0"/>
          <w:numId w:val="11"/>
        </w:num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اعداد مسودة التشريعات في الموضوعات التي تتعلق بالفريق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FD0606" w:rsidRDefault="009C53F2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تقديم و/ او مراجعة و/او المساهمة في اعداد الاستشارات القانونية , المراسلات القانونية , العقود ونماذج الاتفاقيات , التراخيص, وكذلك مراجعة ودراسة القرارات والتوصيات والتعليماتذات العلاقة باعمال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8F7808" w:rsidRDefault="009C53F2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حضور الاجتماعات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والمف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وضات و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مجالس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واي لجان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مكلفة والمناقشات التي تتطلب ر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يا قانونيا 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 حال تم تكليفه بذلك من قبل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8F7808" w:rsidRPr="00AE6B4D" w:rsidRDefault="008F7808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القيام بكافة الاعمال والخدمات القانونية التي يكلف بها </w:t>
      </w:r>
      <w:r w:rsidR="00487C2F" w:rsidRPr="00487C2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من</w:t>
      </w:r>
      <w:r w:rsidR="00C76414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الفريق الاول والتي تقع عادة في نطاق مسؤ</w:t>
      </w:r>
      <w:r w:rsidR="00503DF7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لية وواجبات المستشار القانوني ويقدم خدمات باحدى اللغتين العربية او الانجليزية وذلك حسب طلب الفريق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الاول.</w:t>
      </w:r>
    </w:p>
    <w:p w:rsidR="00AE6B4D" w:rsidRPr="00361FFA" w:rsidRDefault="008F7808" w:rsidP="007E048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الترافع والتمثيل القانوني في جميع القضايا المتعلقة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لدى كافة المحاكم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سبيل المثال لا للحصر (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الجزائية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والجنائية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لادارية والشرعية ودوائر الادعاء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العام والمجالس والسلطات القائمة في المملكة </w:t>
      </w:r>
      <w:r w:rsidR="005C3D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الاردنية الرسمية والاهلية والاشخاص والشركات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علماً بأن </w:t>
      </w:r>
      <w:r w:rsidR="00487C2F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ادارة قضايا الدولة تترافع عن المستشفى في القضايا الحقوقية والتنفيذية وهيئات التحكيم من تاريخ 1/1/2025 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بموجب نص المادة 3/ب من قانون المستشفى رقم 16/1999 وكتاب وكيل ادارة قضايا الدولة المرفق على انه ويحق للمستشفى رغم ذلك توكيل من يراه مناسباً في هذه القضايا</w:t>
      </w:r>
      <w:r w:rsidR="007E048F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على ان يقدم المناقص عرضين ماليين الاول يشمل كافة القضايا بإستثناء الحقوقية والتنفيدية وهيئات التحكيم وعرض خاص بالقضايا الحقوقية والتنفيذية وهيئات التحكيم.</w:t>
      </w:r>
    </w:p>
    <w:p w:rsidR="005C3DEF" w:rsidRPr="007A3CEA" w:rsidRDefault="00AE6B4D" w:rsidP="00804779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ثالثا</w:t>
      </w:r>
      <w:r w:rsidR="005C3DEF" w:rsidRPr="007A3CE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: الشروط والاحكام </w:t>
      </w:r>
    </w:p>
    <w:p w:rsidR="005C3DEF" w:rsidRPr="00C03CE9" w:rsidRDefault="005C3DEF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سيتم ابرام اتفاقية تمثيل قانوني للمحال علي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/عليهم المناقصة وفقا لمتطلبات عمل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وبالشروط والاسعار المقدمة من 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قبلهم.</w:t>
      </w:r>
    </w:p>
    <w:p w:rsidR="009C7125" w:rsidRDefault="005C3DEF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غير مقيد بالتعاقد مع مناقص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واحد من المتقدمين للعطاء وله ان </w:t>
      </w:r>
      <w:r w:rsidR="00632A7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تعاقد مع اكثر من مناقص او وكيل قانوني حسبما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راه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مناسبا.</w:t>
      </w:r>
    </w:p>
    <w:p w:rsidR="007A3CEA" w:rsidRPr="00C03CE9" w:rsidRDefault="007A3CEA" w:rsidP="00D300FC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المستشفى غير مقيد بالتعاقد مع المناقصين الأقل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سعراً</w:t>
      </w:r>
      <w:r w:rsidR="00D300F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ستتم الاحالة حسب جدول المفضلة المرفق في الصفحة رقم (6).</w:t>
      </w:r>
    </w:p>
    <w:p w:rsidR="00A814D1" w:rsidRDefault="009C7125" w:rsidP="00AE6B4D">
      <w:pPr>
        <w:pStyle w:val="ListParagraph"/>
        <w:numPr>
          <w:ilvl w:val="0"/>
          <w:numId w:val="13"/>
        </w:numPr>
        <w:bidi/>
        <w:spacing w:after="0" w:line="360" w:lineRule="auto"/>
        <w:ind w:right="-90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u w:val="single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>يلتز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الم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ناقص الذي تمت الاحالة عليه بتقديم تقارير شهرية دوري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وسنوية</w:t>
      </w:r>
      <w:r w:rsidR="00C76414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 جميع انشطته المتعلقة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التي قام بها خلال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الشهر مع بيان كافة </w:t>
      </w:r>
      <w:r w:rsidR="00210559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المستجدات</w:t>
      </w:r>
      <w:r w:rsidR="00210559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وعلي</w:t>
      </w:r>
      <w:r w:rsidR="00210559" w:rsidRPr="00361FFA">
        <w:rPr>
          <w:rFonts w:ascii="Arabic Transparent" w:eastAsia="Times New Roman" w:hAnsi="Arabic Transparent" w:cs="Arabic Transparent" w:hint="eastAsia"/>
          <w:b/>
          <w:bCs/>
          <w:sz w:val="28"/>
          <w:szCs w:val="28"/>
          <w:u w:val="single"/>
          <w:rtl/>
          <w:lang w:bidi="ar-JO"/>
        </w:rPr>
        <w:t>ه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تزويد المستشفى بقرارات الاحكام المتعلقة بقضاياها بكل مرحلة </w:t>
      </w:r>
      <w:r w:rsidR="002A7EA9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من مراحل ال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تقاضي</w:t>
      </w:r>
      <w:r w:rsidR="00AE6B4D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.</w:t>
      </w:r>
    </w:p>
    <w:p w:rsidR="002A7EA9" w:rsidRPr="00361FFA" w:rsidRDefault="002A7EA9" w:rsidP="00A54B4B">
      <w:pPr>
        <w:pStyle w:val="ListParagraph"/>
        <w:numPr>
          <w:ilvl w:val="0"/>
          <w:numId w:val="13"/>
        </w:numPr>
        <w:shd w:val="clear" w:color="auto" w:fill="FFFFFF" w:themeFill="background1"/>
        <w:bidi/>
        <w:spacing w:after="0" w:line="360" w:lineRule="auto"/>
        <w:ind w:right="-90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u w:val="single"/>
          <w:lang w:bidi="ar-JO"/>
        </w:rPr>
      </w:pPr>
      <w:r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يلتزم المناقص الذي تمت الاحالة عليه</w:t>
      </w:r>
      <w:r w:rsidR="00C76414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بإعلام المستشفى على </w:t>
      </w:r>
      <w:r w:rsidR="00210559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آ</w:t>
      </w:r>
      <w:r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لية الكترونية  لإعلام المستشفى بالاجراءات التي تمت على القضايا بتاريخ الاجراء  المتعلقة بها بشكل الكتروني بها </w:t>
      </w:r>
      <w:r w:rsidR="00210559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( سواء كانت هذه الآلية من خلال نظام البوابة الالكترونية في موقع وزارة العدل او نظام استعلام وارشفة معتمد لدى المتعهد ) .</w:t>
      </w:r>
    </w:p>
    <w:p w:rsidR="00092CD5" w:rsidRPr="00AE6B4D" w:rsidRDefault="009C7125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سيتم تحويل جميع او جزء من القضايا والمطالبات والامور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القانونية للمحال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 /عليهم بعد الاحالة وتوقيع</w:t>
      </w:r>
      <w:r w:rsid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اتفاقية تمثيل قانوني بموجب محضر تسليم مرفقا به تقرير اساس يبين جميع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التحويلات.</w:t>
      </w:r>
    </w:p>
    <w:p w:rsidR="00A814D1" w:rsidRPr="00C03CE9" w:rsidRDefault="00A814D1" w:rsidP="00AE6B4D">
      <w:pPr>
        <w:pStyle w:val="ListParagraph"/>
        <w:numPr>
          <w:ilvl w:val="0"/>
          <w:numId w:val="13"/>
        </w:num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مدة التعاقد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سنتين ميلاديتين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اعتبارا من تاريخ استكمال اجراءات 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التعاقد.</w:t>
      </w:r>
    </w:p>
    <w:p w:rsidR="00A814D1" w:rsidRPr="00C03CE9" w:rsidRDefault="00A814D1" w:rsidP="00361FFA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تمديد مدة التعاقد لمدة 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لا تزيد عن عام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بنفس الشروط وا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لاسعار و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حال 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التمديد</w:t>
      </w:r>
      <w:r w:rsid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مدة اكبر من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ذلك تكون 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بموافقة الطرفين.</w:t>
      </w:r>
    </w:p>
    <w:p w:rsidR="00A814D1" w:rsidRPr="00C03CE9" w:rsidRDefault="00A814D1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بتوريد ايه مبالغ محصلة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خلال يو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مي عمل الى الدائرة المالية في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 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ويفرض عليه او</w:t>
      </w:r>
      <w:r w:rsidR="00632A7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عليهم غرام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تأخير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مقدارها 1% عن كل يوم عمل تأخير في توريد تلك المبالغ.</w:t>
      </w:r>
    </w:p>
    <w:p w:rsidR="00AE6B4D" w:rsidRDefault="00A814D1" w:rsidP="00C76414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يلتزم المحال عليه / عليهم المناقصة بتقديم تقرير اسبوعي بالتسديدات مع المبالغ المسددة وتلك التي تم ايداعها 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صندوق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وفقا للسياسات المالية المتبعه في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814D1" w:rsidRPr="00AE6B4D" w:rsidRDefault="007913A6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الرسوم والمصاريف القضائية للقضايا التي ي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رفعها المحال عليه المناقصة نيابة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</w:t>
      </w:r>
      <w:r w:rsidR="00AC588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ان يتم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تزويده بايصالات مالية حسب الا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صول كما 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اي رسوم تفرضها قرارات المحاكم على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510387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يتحمل المحال عليه المناقصة اي ضرائب او رسوم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لها علاقة بدخل المحال عليه المناقصة بما فيها ضريبة الدخل والضريبة العامة على المبيعات ورسوم مزاولة المهنة او الترخيص......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.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الخ.</w:t>
      </w:r>
    </w:p>
    <w:p w:rsidR="00AE6B4D" w:rsidRDefault="00510387" w:rsidP="00361FFA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تعتبر الرسوم المدفوعة من قبل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54B4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034169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واتعاب </w:t>
      </w:r>
      <w:r w:rsidR="005B7C7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المحاماة</w:t>
      </w:r>
      <w:r w:rsidR="00034169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عند صدور أي حكم لمصلحة المستشفى من حق المستشفى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وعلى المحال عليه /عليهم توريدها لصندوق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C7641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خلال يومي عمل من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تحصيلها ويفرض عليه / عليهم غرام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تاخير مقدارها 1% عن كل يوم عمل تاخير في توريد تلك المبالغ.</w:t>
      </w:r>
    </w:p>
    <w:p w:rsidR="00AE6B4D" w:rsidRDefault="00510387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لا يعتبر احالة المناقصة على مناقص او اكثر سببا يمنع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التعاقد مع مقدم خدمة اخر (من غير المحال عليهم المناقصة ) في اي وقت من الاوقات وبالطريقة التي 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راها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مناسبة , ولا يحق لاي من المحال عليهم المناقصة الاعتراض على ذلك </w:t>
      </w:r>
      <w:r w:rsidR="00E319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او المطالبة باي حق من الحقوق.</w:t>
      </w:r>
    </w:p>
    <w:p w:rsidR="00AE6B4D" w:rsidRDefault="00E319A4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تعتبر اتفاقية التمثيل القانوني التي سيتم ابرامها مع المناقص المحال علي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</w:t>
      </w:r>
      <w:r w:rsidR="00A21A15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عليهم جزء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لا يتجزأ</w:t>
      </w:r>
      <w:r w:rsidR="00503F95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من وثائق المناقصة ويحق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503F95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انهاء اتفاقية التمثيل القانوني في </w:t>
      </w:r>
      <w:r w:rsidR="003B5A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اي وقت خلال فترة سريانها 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دون بيان الاسباب ودون تحمل 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اي مسؤولية / او تعويض نتيجة لذلك</w:t>
      </w:r>
      <w:r w:rsidR="00B62ED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وتدفع مستحقاته نهاية الشهر الذي تم فيه الفسخ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F454CA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تعتبر المواصفات والشروط العامة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الخاصة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دالله الجامعي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ونظام المشتريات الحكومية رقم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(8)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لسنه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2022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</w:t>
      </w:r>
      <w:r w:rsidR="00FC7CC7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تعديلاته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, وتعليمات تنظيم اجراءات المشتريات الحكومية لسنه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2022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جزء لا يتجزأ من وثائق العطاء.</w:t>
      </w:r>
    </w:p>
    <w:p w:rsidR="00AE6B4D" w:rsidRDefault="006611DF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يتحمل المحال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مسؤولية اي اخطاء ناتجة عن اعماله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اهماله او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تقصيره في اداء الخدمات المطلوبة طيلة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مدة العقد وعليه تصويب الوضع الناتج عن ذلك فور حدوثه وفي حال عجزه عن القيام بذلك </w:t>
      </w:r>
      <w:r w:rsidR="0026345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لمستشفى الملك المؤسس عبدالله الجامعي </w:t>
      </w:r>
      <w:r w:rsidR="0026345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تكليف من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26345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راه مناسبا لتصويب الاخطاء وعلى نفقة المحال عليه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على ان يتم تزويد المستشفى بصورة عن كامل ملف القضايا التي لم يحكم بها لصالح المستشفى</w:t>
      </w:r>
      <w:r w:rsidR="0026345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E2621B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يتحمل المحال 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عليه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 عليهم المناقصة المسؤولية الكاملة عن اعمالهم وعن اعمال الموظفين العاملين لديه / لديهم من مستخ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دمين ومحاميين ومندوبين وعن اي اضرار مباشر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وغير مباشر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وتبعي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قد 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حق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عبدالله الجامعي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اثناء تنفيذه لاتفاقية التمثيل القانوني </w:t>
      </w:r>
      <w:r w:rsidR="0075081E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حتى ان ظهرت بعد انتهاء الاتفاقية 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بسبب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اهماله او تقصيره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اخطائه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في اداء الخدمات المطلوبة</w:t>
      </w:r>
      <w:r w:rsidR="00B4115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ويكون مسوؤلا عن اي عطل وضرر وخسار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وكسب فائت قد يلحق ب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B6DC9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نتيجة لذلك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1B6DC9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يتعهد المحال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بالمحافظ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على سرية المعلومات المتعلقة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بمستشفى الملك المؤسس عبدالله الجامعي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وعملياتها وان لا يستخدمها لاغراض خاصة به او يقوم بالكشف عنها لاي طرف ثالث سواء خلال مدة سريان اتفاقية التمثيل القانوني او بعد انتهائها وتحت طائله الم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ؤولية والمسائلة القانونية.</w:t>
      </w:r>
    </w:p>
    <w:p w:rsidR="00AE6B4D" w:rsidRDefault="001F1EDF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عليه/عليهم المناقصة بتقديم كفالة حسن تنفيذ</w:t>
      </w:r>
      <w:r w:rsidR="00B4115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B62ED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حسب نظام المشتريات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</w:t>
      </w:r>
      <w:r w:rsidR="00FA6657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-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حكومية</w:t>
      </w:r>
      <w:r w:rsidR="00B62ED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رقم (8) لسنة 2022 </w:t>
      </w:r>
      <w:r w:rsidR="00FC7CC7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وتعديلاته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ويتعهد ب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 تبقى ساريه المفعول طوال مدة تنفيذ العقد و / او لحين الانتهاء من ايه قضايا معلقة بموجب العقد.</w:t>
      </w:r>
    </w:p>
    <w:p w:rsidR="002A7EA9" w:rsidRDefault="002A7EA9" w:rsidP="00A54B4B">
      <w:pPr>
        <w:pStyle w:val="ListParagraph"/>
        <w:numPr>
          <w:ilvl w:val="0"/>
          <w:numId w:val="13"/>
        </w:numPr>
        <w:shd w:val="clear" w:color="auto" w:fill="F2F2F2" w:themeFill="background1" w:themeFillShade="F2"/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 يتم تقييم المناقص الذي تمت الاحالة عليه بنهاية كل سنة عقدية حسب تقرير السنوي والاعمال </w:t>
      </w:r>
      <w:r w:rsidR="0021055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الشهرية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الواردة منه. </w:t>
      </w:r>
    </w:p>
    <w:p w:rsidR="00AE6B4D" w:rsidRDefault="001F1EDF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لمستشفى الملك المؤسس عبدالله الجامعي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مصادرة كفالة حسن التنفيذ او جزء منها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</w:t>
      </w:r>
      <w:r w:rsidR="005D47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B4115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غير ملزم باقل الاسعار وله الغاء المناقصة دون بيان الاسباب ويكون قراره غير قابل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للاعتراض.</w:t>
      </w:r>
    </w:p>
    <w:p w:rsidR="00AE6B4D" w:rsidRDefault="00F454CA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5D47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الحق في فسخ الاتفاقية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باي وقت ودون ابداء الاسباب ولا ي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</w:t>
      </w:r>
      <w:r w:rsidR="005D47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مستشفى الملك المؤسس عبدالله الجامعي 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اي عطل او ضرر يقع على المحال </w:t>
      </w:r>
      <w:r w:rsidR="00DF01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 عليهم المناقصة</w:t>
      </w:r>
      <w:r w:rsidR="00DF01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نتيجة لذلك.</w:t>
      </w:r>
    </w:p>
    <w:p w:rsidR="00AE6B4D" w:rsidRDefault="00DF01A4" w:rsidP="00361FFA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عليه/ عليهم المناقص بتسليم كافة القضايا</w:t>
      </w:r>
      <w:r w:rsidR="007E75D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غير المنتهية لديه خلال فتر</w:t>
      </w:r>
      <w:r w:rsidR="00BC494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B4115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="00361FFA" w:rsidRPr="00361FFA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>14 يوم عمل</w:t>
      </w:r>
      <w:r w:rsidR="008202BC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7E75D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من تاريخ انتهاء العقد او فسخه.</w:t>
      </w:r>
    </w:p>
    <w:p w:rsidR="00AE6B4D" w:rsidRDefault="00690243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تكون المح</w:t>
      </w:r>
      <w:r w:rsidR="004917F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كم الاردنية هي المختصة لحل اي خلاف ينشأ بين الطرفين.</w:t>
      </w:r>
    </w:p>
    <w:p w:rsidR="00AE6B4D" w:rsidRDefault="004917FC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يكون المناقص مسؤول مسؤولية</w:t>
      </w:r>
      <w:r w:rsidR="00B4115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قانونية عن دقة المعلومات التي يقدمها ويتحمل كافة التبعات القانونية حال تقديمه معلومات خاطئة او اخفاء لاي معلوم</w:t>
      </w:r>
      <w:r w:rsidR="00BC494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تتعلق بهذه المناقصة عند تقديمه العروض او خلال مدة التنفيذ للاتفاقية (حال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الإحالة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عليه)</w:t>
      </w:r>
      <w:r w:rsidR="00B83782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B62ED3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حال وجود اي استفسار او اعتراض على الشروط الخاصة والاحكام 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العامة</w:t>
      </w:r>
      <w:r w:rsidR="00B4115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مخاطبة </w:t>
      </w:r>
      <w:r w:rsidR="005D47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خطيا خلال مدة اقصاها اسبوع من تاريخ الاعلان.</w:t>
      </w:r>
    </w:p>
    <w:p w:rsidR="00AE6B4D" w:rsidRDefault="0075081E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المناقص المحال عليه العطاء الحضور الى المستشفى بنفسه او من يراه مناسبا من محامي مكتبه في حال تطلب العمل حضوره.</w:t>
      </w:r>
    </w:p>
    <w:p w:rsidR="00936B7B" w:rsidRPr="00AE6B4D" w:rsidRDefault="00936B7B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المناقص بتقديم:</w:t>
      </w:r>
    </w:p>
    <w:p w:rsidR="001136F5" w:rsidRPr="00804779" w:rsidRDefault="00936B7B" w:rsidP="00804779">
      <w:pPr>
        <w:numPr>
          <w:ilvl w:val="1"/>
          <w:numId w:val="6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تأمين دخول بنسبة (</w:t>
      </w:r>
      <w:r w:rsidR="00511E3C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1</w:t>
      </w: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%) من قيمة العرض المقدم سارية المفعول لمدة (6) شهور.</w:t>
      </w:r>
    </w:p>
    <w:p w:rsidR="00936B7B" w:rsidRPr="00804779" w:rsidRDefault="00936B7B" w:rsidP="00804779">
      <w:pPr>
        <w:bidi/>
        <w:spacing w:after="0" w:line="360" w:lineRule="auto"/>
        <w:ind w:left="144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(ان يكون التأمين </w:t>
      </w:r>
      <w:r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>ﻋﻠﻰ ﺸﻜل ﻜﻔﺎﻟ</w:t>
      </w:r>
      <w:r w:rsidR="001136F5"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>ﺔ ﺒﻨﻜﻴﺔ ﺍﻭ ﺸﻴﻙ ﻤﺼﺩﻕ ﺼﺎﺩﺭ ﻋﻥ ﺍﺤﺩ</w:t>
      </w:r>
      <w:r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 xml:space="preserve">ﺍﻟﺒﻨـﻭﻙ </w:t>
      </w: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 xml:space="preserve">ﻟﻌﺎﻤﻠﺔ ﻓﻲ ﺍﻟﻤﻤﻠﻜﺔ </w:t>
      </w: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لأ</w:t>
      </w:r>
      <w:r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>ﻤﺭ المستشفى</w:t>
      </w: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وبخلاف ذلك لن يتم قبوله)</w:t>
      </w:r>
    </w:p>
    <w:p w:rsidR="00100D9F" w:rsidRDefault="00936B7B" w:rsidP="007C1EC5">
      <w:pPr>
        <w:numPr>
          <w:ilvl w:val="1"/>
          <w:numId w:val="6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عرض اسعار ساري المفعول لمدة (6) شهور</w:t>
      </w:r>
      <w:r w:rsidR="007E048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7E048F" w:rsidRDefault="007E048F" w:rsidP="007E048F">
      <w:pPr>
        <w:bidi/>
        <w:spacing w:after="0" w:line="360" w:lineRule="auto"/>
        <w:ind w:left="360" w:right="72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30-</w:t>
      </w:r>
      <w:r w:rsidR="008F4CDC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الية تقديم العروض </w:t>
      </w:r>
      <w:r w:rsidR="001D7EE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:</w:t>
      </w:r>
    </w:p>
    <w:p w:rsidR="001D7EE2" w:rsidRDefault="001D7EE2" w:rsidP="001D7EE2">
      <w:pPr>
        <w:bidi/>
        <w:spacing w:after="0" w:line="360" w:lineRule="auto"/>
        <w:ind w:left="360" w:right="72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سيتم تقييم العروض وفقاً للألية التالية:</w:t>
      </w:r>
    </w:p>
    <w:p w:rsidR="001D7EE2" w:rsidRDefault="001D7EE2" w:rsidP="001D7EE2">
      <w:pPr>
        <w:pStyle w:val="ListParagraph"/>
        <w:numPr>
          <w:ilvl w:val="0"/>
          <w:numId w:val="15"/>
        </w:num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العروض الفنية : تقيم العروض الفنية حسب عناصر التقييم المبينة ادناه:</w:t>
      </w:r>
    </w:p>
    <w:p w:rsidR="00827C3B" w:rsidRDefault="00827C3B" w:rsidP="00827C3B">
      <w:p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</w:p>
    <w:p w:rsidR="00827C3B" w:rsidRDefault="00827C3B" w:rsidP="00827C3B">
      <w:p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</w:p>
    <w:tbl>
      <w:tblPr>
        <w:tblStyle w:val="TableGrid"/>
        <w:bidiVisual/>
        <w:tblW w:w="9639" w:type="dxa"/>
        <w:tblInd w:w="162" w:type="dxa"/>
        <w:tblLook w:val="04A0" w:firstRow="1" w:lastRow="0" w:firstColumn="1" w:lastColumn="0" w:noHBand="0" w:noVBand="1"/>
      </w:tblPr>
      <w:tblGrid>
        <w:gridCol w:w="850"/>
        <w:gridCol w:w="7796"/>
        <w:gridCol w:w="993"/>
      </w:tblGrid>
      <w:tr w:rsidR="00827C3B" w:rsidRPr="0016648E" w:rsidTr="00827C3B">
        <w:trPr>
          <w:trHeight w:val="416"/>
        </w:trPr>
        <w:tc>
          <w:tcPr>
            <w:tcW w:w="850" w:type="dxa"/>
          </w:tcPr>
          <w:p w:rsidR="00827C3B" w:rsidRPr="0016648E" w:rsidRDefault="00827C3B" w:rsidP="00827C3B">
            <w:pPr>
              <w:rPr>
                <w:b/>
                <w:bCs/>
                <w:sz w:val="28"/>
                <w:szCs w:val="28"/>
                <w:rtl/>
              </w:rPr>
            </w:pPr>
            <w:r w:rsidRPr="0016648E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7796" w:type="dxa"/>
          </w:tcPr>
          <w:p w:rsidR="00827C3B" w:rsidRPr="0016648E" w:rsidRDefault="00827C3B" w:rsidP="00827C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648E">
              <w:rPr>
                <w:rFonts w:hint="cs"/>
                <w:b/>
                <w:bCs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</w:tcPr>
          <w:p w:rsidR="00827C3B" w:rsidRPr="0016648E" w:rsidRDefault="00827C3B" w:rsidP="00827C3B">
            <w:pPr>
              <w:rPr>
                <w:b/>
                <w:bCs/>
                <w:sz w:val="28"/>
                <w:szCs w:val="28"/>
                <w:rtl/>
              </w:rPr>
            </w:pPr>
            <w:r w:rsidRPr="0016648E">
              <w:rPr>
                <w:rFonts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</w:tr>
      <w:tr w:rsidR="00827C3B" w:rsidTr="00827C3B">
        <w:tc>
          <w:tcPr>
            <w:tcW w:w="850" w:type="dxa"/>
          </w:tcPr>
          <w:p w:rsidR="00827C3B" w:rsidRPr="0016648E" w:rsidRDefault="00827C3B" w:rsidP="00827C3B">
            <w:pPr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796" w:type="dxa"/>
          </w:tcPr>
          <w:p w:rsidR="00827C3B" w:rsidRPr="0016648E" w:rsidRDefault="00827C3B" w:rsidP="00827C3B">
            <w:pPr>
              <w:jc w:val="right"/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أعلى مؤهل علمي في القانون او الحقوق لأي من  كوادر مقدم العرض :ماجستير :4، دكتوراه :5</w:t>
            </w:r>
          </w:p>
        </w:tc>
        <w:tc>
          <w:tcPr>
            <w:tcW w:w="993" w:type="dxa"/>
          </w:tcPr>
          <w:p w:rsidR="00827C3B" w:rsidRDefault="00827C3B" w:rsidP="00827C3B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27C3B" w:rsidTr="00827C3B">
        <w:tc>
          <w:tcPr>
            <w:tcW w:w="850" w:type="dxa"/>
          </w:tcPr>
          <w:p w:rsidR="00827C3B" w:rsidRPr="0016648E" w:rsidRDefault="00827C3B" w:rsidP="00827C3B">
            <w:pPr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796" w:type="dxa"/>
          </w:tcPr>
          <w:p w:rsidR="00827C3B" w:rsidRPr="0016648E" w:rsidRDefault="00827C3B" w:rsidP="00827C3B">
            <w:pPr>
              <w:jc w:val="right"/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رسائل التوصية من مؤسسات رسمية تعامل معها مقدم العرض (كل رسالة تحسب ثلاث علامات).</w:t>
            </w:r>
          </w:p>
        </w:tc>
        <w:tc>
          <w:tcPr>
            <w:tcW w:w="993" w:type="dxa"/>
          </w:tcPr>
          <w:p w:rsidR="00827C3B" w:rsidRDefault="00827C3B" w:rsidP="00827C3B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827C3B" w:rsidTr="00827C3B">
        <w:tc>
          <w:tcPr>
            <w:tcW w:w="850" w:type="dxa"/>
          </w:tcPr>
          <w:p w:rsidR="00827C3B" w:rsidRPr="0016648E" w:rsidRDefault="00827C3B" w:rsidP="00827C3B">
            <w:pPr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796" w:type="dxa"/>
          </w:tcPr>
          <w:p w:rsidR="00827C3B" w:rsidRPr="0016648E" w:rsidRDefault="00827C3B" w:rsidP="00827C3B">
            <w:pPr>
              <w:jc w:val="right"/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 xml:space="preserve">مدة عمل المكتب </w:t>
            </w:r>
            <w:r w:rsidRPr="00543EE1">
              <w:rPr>
                <w:rFonts w:hint="cs"/>
                <w:sz w:val="28"/>
                <w:szCs w:val="28"/>
                <w:shd w:val="clear" w:color="auto" w:fill="FFFFFF" w:themeFill="background1"/>
                <w:rtl/>
              </w:rPr>
              <w:t>بعد الترخيص</w:t>
            </w:r>
            <w:r w:rsidRPr="0016648E">
              <w:rPr>
                <w:rFonts w:hint="cs"/>
                <w:sz w:val="28"/>
                <w:szCs w:val="28"/>
                <w:rtl/>
              </w:rPr>
              <w:t xml:space="preserve">  : كل سنة تزيد عن 10 سنوات تحسب بعلامتين.</w:t>
            </w:r>
          </w:p>
        </w:tc>
        <w:tc>
          <w:tcPr>
            <w:tcW w:w="993" w:type="dxa"/>
          </w:tcPr>
          <w:p w:rsidR="00827C3B" w:rsidRDefault="00827C3B" w:rsidP="00827C3B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827C3B" w:rsidTr="00827C3B">
        <w:tc>
          <w:tcPr>
            <w:tcW w:w="850" w:type="dxa"/>
          </w:tcPr>
          <w:p w:rsidR="00827C3B" w:rsidRPr="0016648E" w:rsidRDefault="00827C3B" w:rsidP="00827C3B">
            <w:pPr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796" w:type="dxa"/>
          </w:tcPr>
          <w:p w:rsidR="00827C3B" w:rsidRPr="0016648E" w:rsidRDefault="00827C3B" w:rsidP="00D300FC">
            <w:pPr>
              <w:jc w:val="right"/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وكيلاً لمؤسسات</w:t>
            </w:r>
            <w:r w:rsidR="00D300FC">
              <w:rPr>
                <w:rFonts w:hint="cs"/>
                <w:sz w:val="28"/>
                <w:szCs w:val="28"/>
                <w:rtl/>
              </w:rPr>
              <w:t xml:space="preserve"> طبية</w:t>
            </w:r>
            <w:r w:rsidRPr="0016648E">
              <w:rPr>
                <w:rFonts w:hint="cs"/>
                <w:sz w:val="28"/>
                <w:szCs w:val="28"/>
                <w:rtl/>
              </w:rPr>
              <w:t xml:space="preserve"> : خمس علامات لكل مؤسسة.</w:t>
            </w:r>
          </w:p>
        </w:tc>
        <w:tc>
          <w:tcPr>
            <w:tcW w:w="993" w:type="dxa"/>
          </w:tcPr>
          <w:p w:rsidR="00827C3B" w:rsidRDefault="00827C3B" w:rsidP="00827C3B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827C3B" w:rsidTr="00827C3B">
        <w:tc>
          <w:tcPr>
            <w:tcW w:w="850" w:type="dxa"/>
          </w:tcPr>
          <w:p w:rsidR="00827C3B" w:rsidRPr="0016648E" w:rsidRDefault="00827C3B" w:rsidP="00827C3B">
            <w:pPr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796" w:type="dxa"/>
          </w:tcPr>
          <w:p w:rsidR="00827C3B" w:rsidRPr="0016648E" w:rsidRDefault="00827C3B" w:rsidP="00D300FC">
            <w:pPr>
              <w:jc w:val="right"/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القضايا الرابحة التي كان المكتب وكيلا</w:t>
            </w:r>
            <w:r w:rsidR="00D300F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6648E">
              <w:rPr>
                <w:rFonts w:hint="cs"/>
                <w:sz w:val="28"/>
                <w:szCs w:val="28"/>
                <w:rtl/>
              </w:rPr>
              <w:t xml:space="preserve">فيها لأخر </w:t>
            </w:r>
            <w:r w:rsidR="00D300FC">
              <w:rPr>
                <w:rFonts w:hint="cs"/>
                <w:sz w:val="28"/>
                <w:szCs w:val="28"/>
                <w:rtl/>
              </w:rPr>
              <w:t>ثلاث</w:t>
            </w:r>
            <w:r w:rsidRPr="0016648E">
              <w:rPr>
                <w:rFonts w:hint="cs"/>
                <w:sz w:val="28"/>
                <w:szCs w:val="28"/>
                <w:rtl/>
              </w:rPr>
              <w:t xml:space="preserve"> سنوات ويعطى ثلاث علامات عن</w:t>
            </w:r>
            <w:r w:rsidR="00D300FC">
              <w:rPr>
                <w:rFonts w:hint="cs"/>
                <w:sz w:val="28"/>
                <w:szCs w:val="28"/>
                <w:rtl/>
              </w:rPr>
              <w:t xml:space="preserve"> كل سنة من</w:t>
            </w:r>
            <w:r w:rsidRPr="0016648E">
              <w:rPr>
                <w:rFonts w:hint="cs"/>
                <w:sz w:val="28"/>
                <w:szCs w:val="28"/>
                <w:rtl/>
              </w:rPr>
              <w:t xml:space="preserve"> السنتين الاولى والثانية واربع علامات عن السنة الاخيرة على ان لايقل عدد القضايا الرابحة عن (20) قضية في السنة الواحدة.</w:t>
            </w:r>
          </w:p>
        </w:tc>
        <w:tc>
          <w:tcPr>
            <w:tcW w:w="993" w:type="dxa"/>
          </w:tcPr>
          <w:p w:rsidR="00827C3B" w:rsidRDefault="00827C3B" w:rsidP="00827C3B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827C3B" w:rsidTr="00827C3B">
        <w:tc>
          <w:tcPr>
            <w:tcW w:w="850" w:type="dxa"/>
          </w:tcPr>
          <w:p w:rsidR="00827C3B" w:rsidRPr="0016648E" w:rsidRDefault="00827C3B" w:rsidP="00827C3B">
            <w:pPr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796" w:type="dxa"/>
          </w:tcPr>
          <w:p w:rsidR="00827C3B" w:rsidRPr="0016648E" w:rsidRDefault="00827C3B" w:rsidP="00827C3B">
            <w:pPr>
              <w:jc w:val="right"/>
              <w:rPr>
                <w:sz w:val="28"/>
                <w:szCs w:val="28"/>
                <w:rtl/>
              </w:rPr>
            </w:pPr>
            <w:r w:rsidRPr="0016648E">
              <w:rPr>
                <w:rFonts w:hint="cs"/>
                <w:sz w:val="28"/>
                <w:szCs w:val="28"/>
                <w:rtl/>
              </w:rPr>
              <w:t>عدد العاملين المزاولين لمهنة المحاماة المؤهلين الحاصلين على الدرجة الجامعية الاولى او اعلى يعطى كل محامي مزاول ثلاث علامات.</w:t>
            </w:r>
          </w:p>
        </w:tc>
        <w:tc>
          <w:tcPr>
            <w:tcW w:w="993" w:type="dxa"/>
          </w:tcPr>
          <w:p w:rsidR="00827C3B" w:rsidRDefault="00827C3B" w:rsidP="00827C3B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827C3B" w:rsidTr="00827C3B">
        <w:trPr>
          <w:trHeight w:val="393"/>
        </w:trPr>
        <w:tc>
          <w:tcPr>
            <w:tcW w:w="8646" w:type="dxa"/>
            <w:gridSpan w:val="2"/>
          </w:tcPr>
          <w:p w:rsidR="00827C3B" w:rsidRPr="0016648E" w:rsidRDefault="00827C3B" w:rsidP="00827C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648E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93" w:type="dxa"/>
          </w:tcPr>
          <w:p w:rsidR="00827C3B" w:rsidRDefault="0086730D" w:rsidP="00827C3B">
            <w:pPr>
              <w:rPr>
                <w:rtl/>
              </w:rPr>
            </w:pPr>
            <w:r>
              <w:t>100</w:t>
            </w:r>
          </w:p>
        </w:tc>
      </w:tr>
    </w:tbl>
    <w:p w:rsidR="00827C3B" w:rsidRDefault="00827C3B" w:rsidP="00827C3B">
      <w:p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</w:p>
    <w:p w:rsidR="00827C3B" w:rsidRDefault="00827C3B" w:rsidP="0086730D">
      <w:pPr>
        <w:pStyle w:val="ListParagraph"/>
        <w:numPr>
          <w:ilvl w:val="0"/>
          <w:numId w:val="15"/>
        </w:num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تحديد مقدار اتعاب سنوية</w:t>
      </w:r>
      <w:r w:rsidR="0086730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مقابل هذه الخدمات القانونية .</w:t>
      </w:r>
    </w:p>
    <w:p w:rsidR="00827C3B" w:rsidRDefault="00827C3B" w:rsidP="00827C3B">
      <w:pPr>
        <w:pStyle w:val="ListParagraph"/>
        <w:numPr>
          <w:ilvl w:val="0"/>
          <w:numId w:val="15"/>
        </w:num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تقييم العروض لكل مناقص حسب المعادلة ادناه.</w:t>
      </w:r>
    </w:p>
    <w:p w:rsidR="00827C3B" w:rsidRPr="00827C3B" w:rsidRDefault="00827C3B" w:rsidP="001D465B">
      <w:pPr>
        <w:pStyle w:val="ListParagraph"/>
        <w:bidi/>
        <w:spacing w:after="0" w:line="240" w:lineRule="auto"/>
        <w:ind w:left="1080" w:right="720"/>
        <w:jc w:val="both"/>
        <w:rPr>
          <w:rFonts w:ascii="Arabic Transparent" w:eastAsia="Times New Roman" w:hAnsi="Arabic Transparent" w:cs="Arabic Transparent"/>
          <w:sz w:val="28"/>
          <w:szCs w:val="28"/>
          <w:u w:val="single"/>
          <w:lang w:bidi="ar-JO"/>
        </w:rPr>
      </w:pPr>
      <w:r w:rsidRPr="00827C3B">
        <w:rPr>
          <w:rFonts w:ascii="Arabic Transparent" w:eastAsia="Times New Roman" w:hAnsi="Arabic Transparent" w:cs="Arabic Transparent" w:hint="cs"/>
          <w:sz w:val="28"/>
          <w:szCs w:val="28"/>
          <w:u w:val="single"/>
          <w:rtl/>
          <w:lang w:bidi="ar-JO"/>
        </w:rPr>
        <w:t xml:space="preserve">اقل اتعاب  سنوية مقدمة من قبل المناقصين </w:t>
      </w:r>
      <w:r w:rsidRPr="001D465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</w:t>
      </w:r>
      <w:r w:rsidRPr="001D465B">
        <w:rPr>
          <w:rFonts w:ascii="Arabic Typesetting" w:eastAsia="Times New Roman" w:hAnsi="Arabic Typesetting" w:cs="Arabic Typesetting"/>
          <w:sz w:val="28"/>
          <w:szCs w:val="28"/>
          <w:rtl/>
          <w:lang w:bidi="ar-JO"/>
        </w:rPr>
        <w:t>X</w:t>
      </w:r>
      <w:r w:rsidR="001D465B" w:rsidRPr="001D465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  70% + علامة العرض  </w:t>
      </w:r>
      <w:r w:rsidR="001D465B" w:rsidRPr="001D465B">
        <w:rPr>
          <w:rFonts w:ascii="Arabic Typesetting" w:eastAsia="Times New Roman" w:hAnsi="Arabic Typesetting" w:cs="Arabic Typesetting"/>
          <w:sz w:val="28"/>
          <w:szCs w:val="28"/>
          <w:rtl/>
          <w:lang w:bidi="ar-JO"/>
        </w:rPr>
        <w:t>X</w:t>
      </w:r>
      <w:r w:rsidR="001D465B" w:rsidRPr="001D465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30%</w:t>
      </w:r>
    </w:p>
    <w:p w:rsidR="001D7EE2" w:rsidRDefault="001D465B" w:rsidP="001D465B">
      <w:pPr>
        <w:bidi/>
        <w:spacing w:after="0" w:line="240" w:lineRule="auto"/>
        <w:ind w:right="72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                  الاتعاب السنوية لكل مناقص</w:t>
      </w:r>
    </w:p>
    <w:p w:rsidR="00827C3B" w:rsidRPr="001D7EE2" w:rsidRDefault="00827C3B" w:rsidP="00827C3B">
      <w:p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</w:p>
    <w:p w:rsidR="00100D9F" w:rsidRDefault="00100D9F" w:rsidP="00EB6691">
      <w:p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lang w:bidi="ar-JO"/>
        </w:rPr>
      </w:pPr>
      <w:r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العرض </w:t>
      </w:r>
      <w:r w:rsidR="00AE6B4D"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المالي:</w:t>
      </w:r>
      <w:r w:rsidR="00EB6691"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يلتزم المناقص </w:t>
      </w:r>
      <w:r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تقديم مبلغ اتعاب سنوي لكافة الاعمال </w:t>
      </w:r>
      <w:r w:rsidR="00EB6691"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و</w:t>
      </w:r>
      <w:r w:rsidR="00EB6691" w:rsidRPr="00EB6691">
        <w:rPr>
          <w:rFonts w:ascii="Arabic Transparent" w:eastAsia="Times New Roman" w:hAnsi="Arabic Transparent" w:cs="Arabic Transparent"/>
          <w:b/>
          <w:bCs/>
          <w:sz w:val="28"/>
          <w:szCs w:val="28"/>
          <w:rtl/>
          <w:lang w:bidi="ar-JO"/>
        </w:rPr>
        <w:t xml:space="preserve">الخدمات القانونية </w:t>
      </w:r>
      <w:r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المذكورة في الشروط أعلاه </w:t>
      </w:r>
      <w:r w:rsidR="00A21A15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: </w:t>
      </w:r>
    </w:p>
    <w:p w:rsidR="00EB6691" w:rsidRDefault="00EB6691" w:rsidP="00EB6691">
      <w:p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rtl/>
          <w:lang w:bidi="ar-JO"/>
        </w:rPr>
      </w:pPr>
      <w:bookmarkStart w:id="0" w:name="_Hlk183423995"/>
      <w:r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المبلغ السنوي مقابل الخدمات </w:t>
      </w:r>
      <w:r w:rsidR="00AE6B4D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رقما:</w:t>
      </w:r>
    </w:p>
    <w:bookmarkEnd w:id="0"/>
    <w:p w:rsidR="001136F5" w:rsidRDefault="00EB6691" w:rsidP="00804779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EB6691">
        <w:rPr>
          <w:rFonts w:ascii="Arabic Transparent" w:eastAsia="Times New Roman" w:hAnsi="Arabic Transparent" w:cs="Arabic Transparent"/>
          <w:b/>
          <w:bCs/>
          <w:sz w:val="28"/>
          <w:szCs w:val="28"/>
          <w:rtl/>
          <w:lang w:bidi="ar-JO"/>
        </w:rPr>
        <w:t xml:space="preserve">المبلغ السنوي مقابل الخدمات </w:t>
      </w:r>
      <w:r w:rsidR="00AE6B4D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كتابة:</w:t>
      </w:r>
    </w:p>
    <w:p w:rsidR="00B23DB8" w:rsidRDefault="00B23DB8" w:rsidP="00B23DB8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23DB8" w:rsidRDefault="00B23DB8" w:rsidP="00B23DB8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23DB8" w:rsidRDefault="00B23DB8" w:rsidP="00B23DB8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23DB8" w:rsidRPr="001136F5" w:rsidRDefault="00B23DB8" w:rsidP="00B23DB8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83782" w:rsidRPr="00804779" w:rsidRDefault="00B83782" w:rsidP="00804779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</w:p>
    <w:sectPr w:rsidR="00B83782" w:rsidRPr="00804779" w:rsidSect="007C1E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9" w:right="990" w:bottom="1440" w:left="990" w:header="36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99" w:rsidRDefault="00A75799" w:rsidP="003F44BA">
      <w:pPr>
        <w:spacing w:after="0" w:line="240" w:lineRule="auto"/>
      </w:pPr>
      <w:r>
        <w:separator/>
      </w:r>
    </w:p>
  </w:endnote>
  <w:endnote w:type="continuationSeparator" w:id="0">
    <w:p w:rsidR="00A75799" w:rsidRDefault="00A75799" w:rsidP="003F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98" w:rsidRDefault="00885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3224"/>
      <w:docPartObj>
        <w:docPartGallery w:val="Page Numbers (Bottom of Page)"/>
        <w:docPartUnique/>
      </w:docPartObj>
    </w:sdtPr>
    <w:sdtEndPr/>
    <w:sdtContent>
      <w:sdt>
        <w:sdtPr>
          <w:id w:val="10583225"/>
          <w:docPartObj>
            <w:docPartGallery w:val="Page Numbers (Top of Page)"/>
            <w:docPartUnique/>
          </w:docPartObj>
        </w:sdtPr>
        <w:sdtEndPr/>
        <w:sdtContent>
          <w:p w:rsidR="00A75799" w:rsidRDefault="00A757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F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F9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5799" w:rsidRDefault="00A757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98" w:rsidRDefault="00885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99" w:rsidRDefault="00A75799" w:rsidP="003F44BA">
      <w:pPr>
        <w:spacing w:after="0" w:line="240" w:lineRule="auto"/>
      </w:pPr>
      <w:r>
        <w:separator/>
      </w:r>
    </w:p>
  </w:footnote>
  <w:footnote w:type="continuationSeparator" w:id="0">
    <w:p w:rsidR="00A75799" w:rsidRDefault="00A75799" w:rsidP="003F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98" w:rsidRDefault="00885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99" w:rsidRDefault="00A75799" w:rsidP="00C506EA">
    <w:pPr>
      <w:bidi/>
      <w:spacing w:after="0" w:line="240" w:lineRule="auto"/>
      <w:ind w:right="-288"/>
      <w:jc w:val="center"/>
      <w:rPr>
        <w:rFonts w:ascii="Arabic Transparent" w:eastAsia="Times New Roman" w:hAnsi="Arabic Transparent" w:cs="Arabic Transparent"/>
        <w:b/>
        <w:bCs/>
        <w:sz w:val="32"/>
        <w:szCs w:val="32"/>
        <w:lang w:bidi="ar-JO"/>
      </w:rPr>
    </w:pPr>
    <w:r w:rsidRPr="007C10CA"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الشروط الخاصة</w:t>
    </w:r>
  </w:p>
  <w:p w:rsidR="00A75799" w:rsidRPr="007C10CA" w:rsidRDefault="00A75799" w:rsidP="00487C2F">
    <w:pPr>
      <w:bidi/>
      <w:spacing w:after="0" w:line="480" w:lineRule="auto"/>
      <w:ind w:right="-284"/>
      <w:jc w:val="center"/>
      <w:rPr>
        <w:rFonts w:ascii="Arabic Transparent" w:eastAsia="Times New Roman" w:hAnsi="Arabic Transparent" w:cs="Arabic Transparent"/>
        <w:b/>
        <w:bCs/>
        <w:sz w:val="32"/>
        <w:szCs w:val="32"/>
        <w:rtl/>
        <w:lang w:bidi="ar-JO"/>
      </w:rPr>
    </w:pPr>
    <w:r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 xml:space="preserve">ع </w:t>
    </w:r>
    <w:r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م</w:t>
    </w:r>
    <w:r w:rsidR="00885F98"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44</w:t>
    </w:r>
    <w:bookmarkStart w:id="1" w:name="_GoBack"/>
    <w:bookmarkEnd w:id="1"/>
    <w:r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 xml:space="preserve">/2025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98" w:rsidRDefault="00885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EC6"/>
    <w:multiLevelType w:val="hybridMultilevel"/>
    <w:tmpl w:val="4A7CCEFA"/>
    <w:lvl w:ilvl="0" w:tplc="2160B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4DA4"/>
    <w:multiLevelType w:val="hybridMultilevel"/>
    <w:tmpl w:val="6EAC2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422BD"/>
    <w:multiLevelType w:val="hybridMultilevel"/>
    <w:tmpl w:val="373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347FD"/>
    <w:multiLevelType w:val="hybridMultilevel"/>
    <w:tmpl w:val="0750DA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5B8C74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C32390E"/>
    <w:multiLevelType w:val="hybridMultilevel"/>
    <w:tmpl w:val="DC6255B0"/>
    <w:lvl w:ilvl="0" w:tplc="4456E74E">
      <w:start w:val="1"/>
      <w:numFmt w:val="arabicAbjad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A073A"/>
    <w:multiLevelType w:val="hybridMultilevel"/>
    <w:tmpl w:val="D0FC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C650B"/>
    <w:multiLevelType w:val="hybridMultilevel"/>
    <w:tmpl w:val="D8969126"/>
    <w:lvl w:ilvl="0" w:tplc="ED28B7B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A1A38"/>
    <w:multiLevelType w:val="hybridMultilevel"/>
    <w:tmpl w:val="0750DA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5B8C74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44733C68"/>
    <w:multiLevelType w:val="hybridMultilevel"/>
    <w:tmpl w:val="C30E997C"/>
    <w:lvl w:ilvl="0" w:tplc="D652C18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BAD7DD6"/>
    <w:multiLevelType w:val="hybridMultilevel"/>
    <w:tmpl w:val="55F89C02"/>
    <w:lvl w:ilvl="0" w:tplc="2160B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730F4"/>
    <w:multiLevelType w:val="hybridMultilevel"/>
    <w:tmpl w:val="19AAE178"/>
    <w:lvl w:ilvl="0" w:tplc="2160B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5634E"/>
    <w:multiLevelType w:val="hybridMultilevel"/>
    <w:tmpl w:val="22B254F2"/>
    <w:lvl w:ilvl="0" w:tplc="25301414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B30C54"/>
    <w:multiLevelType w:val="hybridMultilevel"/>
    <w:tmpl w:val="B06A5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84F44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03556"/>
    <w:multiLevelType w:val="hybridMultilevel"/>
    <w:tmpl w:val="36A6FE72"/>
    <w:lvl w:ilvl="0" w:tplc="2AD21F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9B319A6"/>
    <w:multiLevelType w:val="hybridMultilevel"/>
    <w:tmpl w:val="3238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ECB"/>
    <w:rsid w:val="00005FCB"/>
    <w:rsid w:val="000257BB"/>
    <w:rsid w:val="0003119E"/>
    <w:rsid w:val="00034169"/>
    <w:rsid w:val="00055E94"/>
    <w:rsid w:val="00073ECB"/>
    <w:rsid w:val="00092CD5"/>
    <w:rsid w:val="000958CE"/>
    <w:rsid w:val="00100D9F"/>
    <w:rsid w:val="00105ED2"/>
    <w:rsid w:val="001136F5"/>
    <w:rsid w:val="00114059"/>
    <w:rsid w:val="00125708"/>
    <w:rsid w:val="001440BB"/>
    <w:rsid w:val="001451A2"/>
    <w:rsid w:val="00146D7D"/>
    <w:rsid w:val="00176D3A"/>
    <w:rsid w:val="001A4464"/>
    <w:rsid w:val="001A7051"/>
    <w:rsid w:val="001B6DC9"/>
    <w:rsid w:val="001C3915"/>
    <w:rsid w:val="001D465B"/>
    <w:rsid w:val="001D7EE2"/>
    <w:rsid w:val="001E1E6A"/>
    <w:rsid w:val="001E4DF2"/>
    <w:rsid w:val="001F1EDF"/>
    <w:rsid w:val="001F4774"/>
    <w:rsid w:val="00210559"/>
    <w:rsid w:val="002243CD"/>
    <w:rsid w:val="00241A28"/>
    <w:rsid w:val="00263456"/>
    <w:rsid w:val="00283D02"/>
    <w:rsid w:val="002A0186"/>
    <w:rsid w:val="002A7EA9"/>
    <w:rsid w:val="002B1406"/>
    <w:rsid w:val="002D41B2"/>
    <w:rsid w:val="00306594"/>
    <w:rsid w:val="00311E16"/>
    <w:rsid w:val="003556CC"/>
    <w:rsid w:val="00361FFA"/>
    <w:rsid w:val="00383143"/>
    <w:rsid w:val="003916CA"/>
    <w:rsid w:val="003B5ABB"/>
    <w:rsid w:val="003B5CDC"/>
    <w:rsid w:val="003D3881"/>
    <w:rsid w:val="003E41EF"/>
    <w:rsid w:val="003F44BA"/>
    <w:rsid w:val="003F4E59"/>
    <w:rsid w:val="004409F2"/>
    <w:rsid w:val="0045757E"/>
    <w:rsid w:val="004871A7"/>
    <w:rsid w:val="00487C2F"/>
    <w:rsid w:val="00487F86"/>
    <w:rsid w:val="004917FC"/>
    <w:rsid w:val="004A233C"/>
    <w:rsid w:val="004B3A06"/>
    <w:rsid w:val="004C15DE"/>
    <w:rsid w:val="004D5582"/>
    <w:rsid w:val="00503DF7"/>
    <w:rsid w:val="00503F95"/>
    <w:rsid w:val="00505957"/>
    <w:rsid w:val="00510050"/>
    <w:rsid w:val="00510387"/>
    <w:rsid w:val="00511E3C"/>
    <w:rsid w:val="005316B7"/>
    <w:rsid w:val="00543EE1"/>
    <w:rsid w:val="0056662F"/>
    <w:rsid w:val="00567977"/>
    <w:rsid w:val="00587C8D"/>
    <w:rsid w:val="00594CE4"/>
    <w:rsid w:val="00596169"/>
    <w:rsid w:val="005B4570"/>
    <w:rsid w:val="005B7C74"/>
    <w:rsid w:val="005C3DEF"/>
    <w:rsid w:val="005C41AA"/>
    <w:rsid w:val="005D47A4"/>
    <w:rsid w:val="005E115F"/>
    <w:rsid w:val="005E5247"/>
    <w:rsid w:val="00620A96"/>
    <w:rsid w:val="00631EF4"/>
    <w:rsid w:val="00632A72"/>
    <w:rsid w:val="006611DF"/>
    <w:rsid w:val="00690243"/>
    <w:rsid w:val="006E5C21"/>
    <w:rsid w:val="00706FA2"/>
    <w:rsid w:val="00732419"/>
    <w:rsid w:val="0075081E"/>
    <w:rsid w:val="0078324D"/>
    <w:rsid w:val="007913A6"/>
    <w:rsid w:val="00795D19"/>
    <w:rsid w:val="007A3CEA"/>
    <w:rsid w:val="007C10CA"/>
    <w:rsid w:val="007C1EC5"/>
    <w:rsid w:val="007E048F"/>
    <w:rsid w:val="007E395D"/>
    <w:rsid w:val="007E75D6"/>
    <w:rsid w:val="007F5E01"/>
    <w:rsid w:val="00804779"/>
    <w:rsid w:val="00813F07"/>
    <w:rsid w:val="008202BC"/>
    <w:rsid w:val="008254AE"/>
    <w:rsid w:val="00827C3B"/>
    <w:rsid w:val="0086730D"/>
    <w:rsid w:val="00885F98"/>
    <w:rsid w:val="00891A63"/>
    <w:rsid w:val="008C38F9"/>
    <w:rsid w:val="008F1287"/>
    <w:rsid w:val="008F4CDC"/>
    <w:rsid w:val="008F7808"/>
    <w:rsid w:val="009106B8"/>
    <w:rsid w:val="009238A5"/>
    <w:rsid w:val="0093164C"/>
    <w:rsid w:val="00936B7B"/>
    <w:rsid w:val="0095269F"/>
    <w:rsid w:val="0095335C"/>
    <w:rsid w:val="009A6371"/>
    <w:rsid w:val="009C53F2"/>
    <w:rsid w:val="009C7125"/>
    <w:rsid w:val="009D0586"/>
    <w:rsid w:val="00A07B21"/>
    <w:rsid w:val="00A21A15"/>
    <w:rsid w:val="00A54B4B"/>
    <w:rsid w:val="00A569C5"/>
    <w:rsid w:val="00A70CE0"/>
    <w:rsid w:val="00A75799"/>
    <w:rsid w:val="00A814D1"/>
    <w:rsid w:val="00A82946"/>
    <w:rsid w:val="00A97BC7"/>
    <w:rsid w:val="00AA0EFB"/>
    <w:rsid w:val="00AA2A60"/>
    <w:rsid w:val="00AA2C5B"/>
    <w:rsid w:val="00AB3D4C"/>
    <w:rsid w:val="00AC588F"/>
    <w:rsid w:val="00AC673F"/>
    <w:rsid w:val="00AD70B8"/>
    <w:rsid w:val="00AE1E6A"/>
    <w:rsid w:val="00AE4512"/>
    <w:rsid w:val="00AE6B4D"/>
    <w:rsid w:val="00B23DB8"/>
    <w:rsid w:val="00B30E80"/>
    <w:rsid w:val="00B31094"/>
    <w:rsid w:val="00B41150"/>
    <w:rsid w:val="00B62ED3"/>
    <w:rsid w:val="00B6555E"/>
    <w:rsid w:val="00B7459E"/>
    <w:rsid w:val="00B83782"/>
    <w:rsid w:val="00BC4943"/>
    <w:rsid w:val="00BC7A3E"/>
    <w:rsid w:val="00BE1522"/>
    <w:rsid w:val="00C03CE9"/>
    <w:rsid w:val="00C37B70"/>
    <w:rsid w:val="00C40329"/>
    <w:rsid w:val="00C506EA"/>
    <w:rsid w:val="00C76414"/>
    <w:rsid w:val="00C767AB"/>
    <w:rsid w:val="00C8178F"/>
    <w:rsid w:val="00CA212F"/>
    <w:rsid w:val="00CD3580"/>
    <w:rsid w:val="00CD7FE1"/>
    <w:rsid w:val="00D300FC"/>
    <w:rsid w:val="00D35682"/>
    <w:rsid w:val="00D72783"/>
    <w:rsid w:val="00D83BA6"/>
    <w:rsid w:val="00DE605D"/>
    <w:rsid w:val="00DF01A4"/>
    <w:rsid w:val="00DF37EA"/>
    <w:rsid w:val="00E20A09"/>
    <w:rsid w:val="00E2621B"/>
    <w:rsid w:val="00E319A4"/>
    <w:rsid w:val="00E50441"/>
    <w:rsid w:val="00E8593B"/>
    <w:rsid w:val="00E94426"/>
    <w:rsid w:val="00E978DA"/>
    <w:rsid w:val="00EA3E70"/>
    <w:rsid w:val="00EB6691"/>
    <w:rsid w:val="00ED0DBB"/>
    <w:rsid w:val="00ED27ED"/>
    <w:rsid w:val="00F15460"/>
    <w:rsid w:val="00F15FFA"/>
    <w:rsid w:val="00F2682B"/>
    <w:rsid w:val="00F454CA"/>
    <w:rsid w:val="00F52B2E"/>
    <w:rsid w:val="00F748AA"/>
    <w:rsid w:val="00FA6657"/>
    <w:rsid w:val="00FC7CC7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B2"/>
    <w:pPr>
      <w:ind w:left="720"/>
      <w:contextualSpacing/>
    </w:pPr>
  </w:style>
  <w:style w:type="table" w:styleId="TableGrid">
    <w:name w:val="Table Grid"/>
    <w:basedOn w:val="Table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BA"/>
  </w:style>
  <w:style w:type="paragraph" w:styleId="Footer">
    <w:name w:val="footer"/>
    <w:basedOn w:val="Normal"/>
    <w:link w:val="Foot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BA"/>
  </w:style>
  <w:style w:type="paragraph" w:styleId="Title">
    <w:name w:val="Title"/>
    <w:basedOn w:val="Normal"/>
    <w:link w:val="TitleChar"/>
    <w:qFormat/>
    <w:rsid w:val="00936B7B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28"/>
      <w:szCs w:val="28"/>
      <w:lang w:eastAsia="ar-SA" w:bidi="ar-JO"/>
    </w:rPr>
  </w:style>
  <w:style w:type="character" w:customStyle="1" w:styleId="TitleChar">
    <w:name w:val="Title Char"/>
    <w:basedOn w:val="DefaultParagraphFont"/>
    <w:link w:val="Title"/>
    <w:rsid w:val="00936B7B"/>
    <w:rPr>
      <w:rFonts w:ascii="Times New Roman" w:eastAsia="Times New Roman" w:hAnsi="Times New Roman" w:cs="Arabic Transparent"/>
      <w:sz w:val="28"/>
      <w:szCs w:val="28"/>
      <w:lang w:eastAsia="ar-SA" w:bidi="ar-JO"/>
    </w:rPr>
  </w:style>
  <w:style w:type="table" w:customStyle="1" w:styleId="TableGrid1">
    <w:name w:val="Table Grid1"/>
    <w:basedOn w:val="TableNormal"/>
    <w:next w:val="TableGrid"/>
    <w:uiPriority w:val="59"/>
    <w:rsid w:val="002243C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420D-F8EA-4DB8-B665-CD160039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kauh</dc:creator>
  <cp:keywords/>
  <dc:description/>
  <cp:lastModifiedBy>u3103</cp:lastModifiedBy>
  <cp:revision>51</cp:revision>
  <cp:lastPrinted>2025-04-30T09:28:00Z</cp:lastPrinted>
  <dcterms:created xsi:type="dcterms:W3CDTF">2024-11-21T11:12:00Z</dcterms:created>
  <dcterms:modified xsi:type="dcterms:W3CDTF">2025-04-30T11:54:00Z</dcterms:modified>
</cp:coreProperties>
</file>